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000000"/>
          <w:sz w:val="18"/>
          <w:szCs w:val="18"/>
        </w:rPr>
        <w:t xml:space="preserve">MYP 1 · DESIGN — INDUCTION WEEK</w:t>
      </w:r>
    </w:p>
    <w:p>
      <w:pPr>
        <w:spacing w:after="60"/>
        <w:jc w:val="center"/>
      </w:pPr>
      <w:r>
        <w:rPr>
          <w:rFonts w:ascii="Calibri" w:cs="Calibri" w:eastAsia="Calibri" w:hAnsi="Calibri"/>
          <w:b/>
          <w:bCs/>
          <w:color w:val="000000"/>
          <w:sz w:val="40"/>
          <w:szCs w:val="40"/>
        </w:rPr>
        <w:t xml:space="preserve">Meet the Design Cycle</w:t>
      </w:r>
    </w:p>
    <w:p>
      <w:pPr>
        <w:spacing w:after="200"/>
        <w:jc w:val="center"/>
      </w:pPr>
      <w:r>
        <w:rPr>
          <w:rFonts w:ascii="Calibri" w:cs="Calibri" w:eastAsia="Calibri" w:hAnsi="Calibri"/>
          <w:i/>
          <w:iCs/>
          <w:color w:val="000000"/>
          <w:sz w:val="20"/>
          <w:szCs w:val="20"/>
        </w:rPr>
        <w:t xml:space="preserve">One Lesson, Delivered Across 40 min × 4 Sessions</w:t>
      </w:r>
    </w:p>
    <w:tbl>
      <w:tblPr>
        <w:tblW w:type="dxa" w:w="9700"/>
        <w:tblBorders>
          <w:top w:val="single" w:color="000000" w:sz="2"/>
          <w:left w:val="single" w:color="000000" w:sz="2"/>
          <w:bottom w:val="single" w:color="000000" w:sz="2"/>
          <w:right w:val="single" w:color="000000" w:sz="2"/>
          <w:insideH w:val="single" w:color="000000" w:sz="2"/>
          <w:insideV w:val="single" w:color="000000" w:sz="2"/>
        </w:tblBorders>
      </w:tblPr>
      <w:tblGrid>
        <w:gridCol w:w="2400"/>
        <w:gridCol w:w="7300"/>
      </w:tblGrid>
      <w:tr>
        <w:tc>
          <w:tcPr>
            <w:tcW w:type="dxa" w:w="2400"/>
            <w:tcMar>
              <w:top w:type="dxa" w:w="80"/>
              <w:left w:type="dxa" w:w="120"/>
              <w:bottom w:type="dxa" w:w="80"/>
              <w:right w:type="dxa" w:w="120"/>
            </w:tcMar>
            <w:vAlign w:val="center"/>
          </w:tcPr>
          <w:p>
            <w:r>
              <w:rPr>
                <w:rFonts w:ascii="Calibri" w:cs="Calibri" w:eastAsia="Calibri" w:hAnsi="Calibri"/>
                <w:b/>
                <w:bCs/>
                <w:color w:val="000000"/>
                <w:sz w:val="19"/>
                <w:szCs w:val="19"/>
              </w:rPr>
              <w:t xml:space="preserve">Subject Group</w:t>
            </w:r>
          </w:p>
        </w:tc>
        <w:tc>
          <w:tcPr>
            <w:tcW w:type="dxa" w:w="7300"/>
            <w:tcMar>
              <w:top w:type="dxa" w:w="80"/>
              <w:left w:type="dxa" w:w="120"/>
              <w:bottom w:type="dxa" w:w="80"/>
              <w:right w:type="dxa" w:w="120"/>
            </w:tcMar>
            <w:vAlign w:val="center"/>
          </w:tcPr>
          <w:p>
            <w:r>
              <w:rPr>
                <w:rFonts w:ascii="Calibri" w:cs="Calibri" w:eastAsia="Calibri" w:hAnsi="Calibri"/>
                <w:color w:val="000000"/>
                <w:sz w:val="20"/>
                <w:szCs w:val="20"/>
              </w:rPr>
              <w:t xml:space="preserve">Design (MYP)</w:t>
            </w:r>
          </w:p>
        </w:tc>
      </w:tr>
      <w:tr>
        <w:tc>
          <w:tcPr>
            <w:tcW w:type="dxa" w:w="2400"/>
            <w:tcMar>
              <w:top w:type="dxa" w:w="80"/>
              <w:left w:type="dxa" w:w="120"/>
              <w:bottom w:type="dxa" w:w="80"/>
              <w:right w:type="dxa" w:w="120"/>
            </w:tcMar>
            <w:vAlign w:val="center"/>
          </w:tcPr>
          <w:p>
            <w:r>
              <w:rPr>
                <w:rFonts w:ascii="Calibri" w:cs="Calibri" w:eastAsia="Calibri" w:hAnsi="Calibri"/>
                <w:b/>
                <w:bCs/>
                <w:color w:val="000000"/>
                <w:sz w:val="19"/>
                <w:szCs w:val="19"/>
              </w:rPr>
              <w:t xml:space="preserve">Year Group</w:t>
            </w:r>
          </w:p>
        </w:tc>
        <w:tc>
          <w:tcPr>
            <w:tcW w:type="dxa" w:w="7300"/>
            <w:tcMar>
              <w:top w:type="dxa" w:w="80"/>
              <w:left w:type="dxa" w:w="120"/>
              <w:bottom w:type="dxa" w:w="80"/>
              <w:right w:type="dxa" w:w="120"/>
            </w:tcMar>
            <w:vAlign w:val="center"/>
          </w:tcPr>
          <w:p>
            <w:r>
              <w:rPr>
                <w:rFonts w:ascii="Calibri" w:cs="Calibri" w:eastAsia="Calibri" w:hAnsi="Calibri"/>
                <w:color w:val="000000"/>
                <w:sz w:val="20"/>
                <w:szCs w:val="20"/>
              </w:rPr>
              <w:t xml:space="preserve">MYP 1 (new to MYP)</w:t>
            </w:r>
          </w:p>
        </w:tc>
      </w:tr>
      <w:tr>
        <w:tc>
          <w:tcPr>
            <w:tcW w:type="dxa" w:w="2400"/>
            <w:tcMar>
              <w:top w:type="dxa" w:w="80"/>
              <w:left w:type="dxa" w:w="120"/>
              <w:bottom w:type="dxa" w:w="80"/>
              <w:right w:type="dxa" w:w="120"/>
            </w:tcMar>
            <w:vAlign w:val="center"/>
          </w:tcPr>
          <w:p>
            <w:r>
              <w:rPr>
                <w:rFonts w:ascii="Calibri" w:cs="Calibri" w:eastAsia="Calibri" w:hAnsi="Calibri"/>
                <w:b/>
                <w:bCs/>
                <w:color w:val="000000"/>
                <w:sz w:val="19"/>
                <w:szCs w:val="19"/>
              </w:rPr>
              <w:t xml:space="preserve">Duration</w:t>
            </w:r>
          </w:p>
        </w:tc>
        <w:tc>
          <w:tcPr>
            <w:tcW w:type="dxa" w:w="7300"/>
            <w:tcMar>
              <w:top w:type="dxa" w:w="80"/>
              <w:left w:type="dxa" w:w="120"/>
              <w:bottom w:type="dxa" w:w="80"/>
              <w:right w:type="dxa" w:w="120"/>
            </w:tcMar>
            <w:vAlign w:val="center"/>
          </w:tcPr>
          <w:p>
            <w:r>
              <w:rPr>
                <w:rFonts w:ascii="Calibri" w:cs="Calibri" w:eastAsia="Calibri" w:hAnsi="Calibri"/>
                <w:color w:val="000000"/>
                <w:sz w:val="20"/>
                <w:szCs w:val="20"/>
              </w:rPr>
              <w:t xml:space="preserve">40 minutes × 4 (160 minutes total, ~35 min effective each)</w:t>
            </w:r>
          </w:p>
        </w:tc>
      </w:tr>
      <w:tr>
        <w:tc>
          <w:tcPr>
            <w:tcW w:type="dxa" w:w="2400"/>
            <w:tcMar>
              <w:top w:type="dxa" w:w="80"/>
              <w:left w:type="dxa" w:w="120"/>
              <w:bottom w:type="dxa" w:w="80"/>
              <w:right w:type="dxa" w:w="120"/>
            </w:tcMar>
            <w:vAlign w:val="center"/>
          </w:tcPr>
          <w:p>
            <w:r>
              <w:rPr>
                <w:rFonts w:ascii="Calibri" w:cs="Calibri" w:eastAsia="Calibri" w:hAnsi="Calibri"/>
                <w:b/>
                <w:bCs/>
                <w:color w:val="000000"/>
                <w:sz w:val="19"/>
                <w:szCs w:val="19"/>
              </w:rPr>
              <w:t xml:space="preserve">Unit Context</w:t>
            </w:r>
          </w:p>
        </w:tc>
        <w:tc>
          <w:tcPr>
            <w:tcW w:type="dxa" w:w="7300"/>
            <w:tcMar>
              <w:top w:type="dxa" w:w="80"/>
              <w:left w:type="dxa" w:w="120"/>
              <w:bottom w:type="dxa" w:w="80"/>
              <w:right w:type="dxa" w:w="120"/>
            </w:tcMar>
            <w:vAlign w:val="center"/>
          </w:tcPr>
          <w:p>
            <w:r>
              <w:rPr>
                <w:rFonts w:ascii="Calibri" w:cs="Calibri" w:eastAsia="Calibri" w:hAnsi="Calibri"/>
                <w:color w:val="000000"/>
                <w:sz w:val="20"/>
                <w:szCs w:val="20"/>
              </w:rPr>
              <w:t xml:space="preserve">Stand-alone induction lesson, ahead of Unit 2: "Pair and Glow" (Electrical Circuits)</w:t>
            </w:r>
          </w:p>
        </w:tc>
      </w:tr>
      <w:tr>
        <w:tc>
          <w:tcPr>
            <w:tcW w:type="dxa" w:w="2400"/>
            <w:tcMar>
              <w:top w:type="dxa" w:w="80"/>
              <w:left w:type="dxa" w:w="120"/>
              <w:bottom w:type="dxa" w:w="80"/>
              <w:right w:type="dxa" w:w="120"/>
            </w:tcMar>
            <w:vAlign w:val="center"/>
          </w:tcPr>
          <w:p>
            <w:r>
              <w:rPr>
                <w:rFonts w:ascii="Calibri" w:cs="Calibri" w:eastAsia="Calibri" w:hAnsi="Calibri"/>
                <w:b/>
                <w:bCs/>
                <w:color w:val="000000"/>
                <w:sz w:val="19"/>
                <w:szCs w:val="19"/>
              </w:rPr>
              <w:t xml:space="preserve">ATL Skill Focus</w:t>
            </w:r>
          </w:p>
        </w:tc>
        <w:tc>
          <w:tcPr>
            <w:tcW w:type="dxa" w:w="7300"/>
            <w:tcMar>
              <w:top w:type="dxa" w:w="80"/>
              <w:left w:type="dxa" w:w="120"/>
              <w:bottom w:type="dxa" w:w="80"/>
              <w:right w:type="dxa" w:w="120"/>
            </w:tcMar>
            <w:vAlign w:val="center"/>
          </w:tcPr>
          <w:p>
            <w:r>
              <w:rPr>
                <w:rFonts w:ascii="Calibri" w:cs="Calibri" w:eastAsia="Calibri" w:hAnsi="Calibri"/>
                <w:color w:val="000000"/>
                <w:sz w:val="20"/>
                <w:szCs w:val="20"/>
              </w:rPr>
              <w:t xml:space="preserve">Category IX — Creative Thinking: generating novel ideas and considering new perspectives; using brainstorming and visual diagrams; applying existing knowledge to generate new ideas, products or processes</w:t>
            </w:r>
          </w:p>
        </w:tc>
      </w:tr>
      <w:tr>
        <w:tc>
          <w:tcPr>
            <w:tcW w:type="dxa" w:w="2400"/>
            <w:tcMar>
              <w:top w:type="dxa" w:w="80"/>
              <w:left w:type="dxa" w:w="120"/>
              <w:bottom w:type="dxa" w:w="80"/>
              <w:right w:type="dxa" w:w="120"/>
            </w:tcMar>
            <w:vAlign w:val="center"/>
          </w:tcPr>
          <w:p>
            <w:r>
              <w:rPr>
                <w:rFonts w:ascii="Calibri" w:cs="Calibri" w:eastAsia="Calibri" w:hAnsi="Calibri"/>
                <w:b/>
                <w:bCs/>
                <w:color w:val="000000"/>
                <w:sz w:val="19"/>
                <w:szCs w:val="19"/>
              </w:rPr>
              <w:t xml:space="preserve">Learner Profile Focus</w:t>
            </w:r>
          </w:p>
        </w:tc>
        <w:tc>
          <w:tcPr>
            <w:tcW w:type="dxa" w:w="7300"/>
            <w:tcMar>
              <w:top w:type="dxa" w:w="80"/>
              <w:left w:type="dxa" w:w="120"/>
              <w:bottom w:type="dxa" w:w="80"/>
              <w:right w:type="dxa" w:w="120"/>
            </w:tcMar>
            <w:vAlign w:val="center"/>
          </w:tcPr>
          <w:p>
            <w:r>
              <w:rPr>
                <w:rFonts w:ascii="Calibri" w:cs="Calibri" w:eastAsia="Calibri" w:hAnsi="Calibri"/>
                <w:color w:val="000000"/>
                <w:sz w:val="20"/>
                <w:szCs w:val="20"/>
              </w:rPr>
              <w:t xml:space="preserve">Inquirer · Thinker · Reflective · Open-minded</w:t>
            </w:r>
          </w:p>
        </w:tc>
      </w:tr>
    </w:tbl>
    <w:p>
      <w:pPr>
        <w:spacing w:after="200"/>
      </w:pPr>
    </w:p>
    <w:p>
      <w:pPr>
        <w:pBdr>
          <w:bottom w:val="single" w:color="000000" w:sz="4" w:space="3"/>
        </w:pBdr>
        <w:spacing w:after="100" w:before="240"/>
      </w:pPr>
      <w:r>
        <w:rPr>
          <w:rFonts w:ascii="Calibri" w:cs="Calibri" w:eastAsia="Calibri" w:hAnsi="Calibri"/>
          <w:b/>
          <w:bCs/>
          <w:color w:val="000000"/>
          <w:sz w:val="24"/>
          <w:szCs w:val="24"/>
        </w:rPr>
        <w:t xml:space="preserve">The thread: unknown to known</w:t>
      </w:r>
    </w:p>
    <w:p>
      <w:pPr>
        <w:spacing w:after="100"/>
      </w:pPr>
      <w:r>
        <w:rPr>
          <w:rFonts w:ascii="Calibri" w:cs="Calibri" w:eastAsia="Calibri" w:hAnsi="Calibri"/>
          <w:b w:val="false"/>
          <w:bCs w:val="false"/>
          <w:i w:val="false"/>
          <w:iCs w:val="false"/>
          <w:color w:val="000000"/>
          <w:sz w:val="20"/>
          <w:szCs w:val="20"/>
        </w:rPr>
        <w:t xml:space="preserve">This is framed as one continuous journey, not four separate topics. It opens with a worked demonstration of the whole cycle, then students record their first-pass understanding on a class chart, then they build their own solution and describe their own process in their own words before that process is formally connected to Criteria A–D. By the end they can define all four in their own words, anchored to something they did themselves. The class chart below is what makes that shift visible to the students.</w:t>
      </w:r>
    </w:p>
    <w:p>
      <w:pPr>
        <w:spacing w:after="100"/>
      </w:pPr>
    </w:p>
    <w:p>
      <w:pPr>
        <w:pBdr>
          <w:bottom w:val="single" w:color="000000" w:sz="4" w:space="3"/>
        </w:pBdr>
        <w:spacing w:after="100" w:before="240"/>
      </w:pPr>
      <w:r>
        <w:rPr>
          <w:rFonts w:ascii="Calibri" w:cs="Calibri" w:eastAsia="Calibri" w:hAnsi="Calibri"/>
          <w:b/>
          <w:bCs/>
          <w:color w:val="000000"/>
          <w:sz w:val="24"/>
          <w:szCs w:val="24"/>
        </w:rPr>
        <w:t xml:space="preserve">What I know / What I learned — class chart</w:t>
      </w:r>
    </w:p>
    <w:p>
      <w:pPr>
        <w:spacing w:after="100"/>
      </w:pPr>
      <w:r>
        <w:rPr>
          <w:rFonts w:ascii="Calibri" w:cs="Calibri" w:eastAsia="Calibri" w:hAnsi="Calibri"/>
          <w:b w:val="false"/>
          <w:bCs w:val="false"/>
          <w:i w:val="false"/>
          <w:iCs w:val="false"/>
          <w:color w:val="000000"/>
          <w:sz w:val="20"/>
          <w:szCs w:val="20"/>
        </w:rPr>
        <w:t xml:space="preserve">A shared chart on the board or a large sheet of chart paper, not individual worksheets — kept public and visible for the whole lesson.</w:t>
      </w:r>
    </w:p>
    <w:p>
      <w:pPr>
        <w:spacing w:after="80"/>
      </w:pPr>
    </w:p>
    <w:p>
      <w:pPr>
        <w:pStyle w:val="ListParagraph"/>
        <w:numPr>
          <w:ilvl w:val="0"/>
          <w:numId w:val="2"/>
        </w:numPr>
        <w:spacing w:after="60"/>
      </w:pPr>
      <w:r>
        <w:rPr>
          <w:rFonts w:ascii="Calibri" w:cs="Calibri" w:eastAsia="Calibri" w:hAnsi="Calibri"/>
          <w:color w:val="000000"/>
          <w:sz w:val="20"/>
          <w:szCs w:val="20"/>
        </w:rPr>
        <w:t xml:space="preserve">Straight after the PPT demo and quick discussion: go round the room collecting one quick word or phrase per letter from different students, and write their response straight into the “What I know” column, in their own words, no correcting, no debate at this stage.</w:t>
      </w:r>
    </w:p>
    <w:p>
      <w:pPr>
        <w:pStyle w:val="ListParagraph"/>
        <w:numPr>
          <w:ilvl w:val="0"/>
          <w:numId w:val="2"/>
        </w:numPr>
        <w:spacing w:after="60"/>
      </w:pPr>
      <w:r>
        <w:rPr>
          <w:rFonts w:ascii="Calibri" w:cs="Calibri" w:eastAsia="Calibri" w:hAnsi="Calibri"/>
          <w:color w:val="000000"/>
          <w:sz w:val="20"/>
          <w:szCs w:val="20"/>
        </w:rPr>
        <w:t xml:space="preserve">Leave the chart up and visible for the rest of the lesson — don't cover the first column or take it down.</w:t>
      </w:r>
    </w:p>
    <w:p>
      <w:pPr>
        <w:pStyle w:val="ListParagraph"/>
        <w:numPr>
          <w:ilvl w:val="0"/>
          <w:numId w:val="2"/>
        </w:numPr>
        <w:spacing w:after="60"/>
      </w:pPr>
      <w:r>
        <w:rPr>
          <w:rFonts w:ascii="Calibri" w:cs="Calibri" w:eastAsia="Calibri" w:hAnsi="Calibri"/>
          <w:color w:val="000000"/>
          <w:sz w:val="20"/>
          <w:szCs w:val="20"/>
        </w:rPr>
        <w:t xml:space="preserve">Near the end, after testing: return to the same chart. Go round again and collect what students would say now for each letter, filling the “What I learned” column right next to their earlier answer.</w:t>
      </w:r>
    </w:p>
    <w:p>
      <w:pPr>
        <w:pStyle w:val="ListParagraph"/>
        <w:numPr>
          <w:ilvl w:val="0"/>
          <w:numId w:val="2"/>
        </w:numPr>
        <w:spacing w:after="60"/>
      </w:pPr>
      <w:r>
        <w:rPr>
          <w:rFonts w:ascii="Calibri" w:cs="Calibri" w:eastAsia="Calibri" w:hAnsi="Calibri"/>
          <w:color w:val="000000"/>
          <w:sz w:val="20"/>
          <w:szCs w:val="20"/>
        </w:rPr>
        <w:t xml:space="preserve">Read both columns side by side out loud, row by row, as a class, and let students notice the shift themselves.</w:t>
      </w:r>
    </w:p>
    <w:p>
      <w:pPr>
        <w:pStyle w:val="ListParagraph"/>
        <w:numPr>
          <w:ilvl w:val="0"/>
          <w:numId w:val="2"/>
        </w:numPr>
        <w:spacing w:after="60"/>
      </w:pPr>
      <w:r>
        <w:rPr>
          <w:rFonts w:ascii="Calibri" w:cs="Calibri" w:eastAsia="Calibri" w:hAnsi="Calibri"/>
          <w:color w:val="000000"/>
          <w:sz w:val="20"/>
          <w:szCs w:val="20"/>
        </w:rPr>
        <w:t xml:space="preserve">Leave the finished chart up on the wall afterward — a visible reference point to point back to once formal criteria strands start in Unit 2.</w:t>
      </w:r>
    </w:p>
    <w:p>
      <w:pPr>
        <w:spacing w:after="100"/>
      </w:pPr>
    </w:p>
    <w:p>
      <w:pPr>
        <w:spacing w:after="100"/>
      </w:pPr>
      <w:r>
        <w:rPr>
          <w:rFonts w:ascii="Calibri" w:cs="Calibri" w:eastAsia="Calibri" w:hAnsi="Calibri"/>
          <w:b/>
          <w:bCs/>
          <w:i w:val="false"/>
          <w:iCs w:val="false"/>
          <w:color w:val="000000"/>
          <w:sz w:val="20"/>
          <w:szCs w:val="20"/>
        </w:rPr>
        <w:t xml:space="preserve">Chart template:</w:t>
      </w:r>
    </w:p>
    <w:p>
      <w:pPr>
        <w:spacing w:after="60"/>
      </w:pPr>
    </w:p>
    <w:tbl>
      <w:tblPr>
        <w:tblW w:type="dxa" w:w="9700"/>
        <w:tblBorders>
          <w:top w:val="single" w:color="000000" w:sz="2"/>
          <w:left w:val="single" w:color="000000" w:sz="2"/>
          <w:bottom w:val="single" w:color="000000" w:sz="2"/>
          <w:right w:val="single" w:color="000000" w:sz="2"/>
          <w:insideH w:val="single" w:color="000000" w:sz="2"/>
          <w:insideV w:val="single" w:color="000000" w:sz="2"/>
        </w:tblBorders>
      </w:tblPr>
      <w:tblGrid>
        <w:gridCol w:w="900"/>
        <w:gridCol w:w="4400"/>
        <w:gridCol w:w="4400"/>
      </w:tblGrid>
      <w:tr>
        <w:trPr>
          <w:tblHeader/>
        </w:trPr>
        <w:tc>
          <w:tcPr>
            <w:tcW w:type="dxa" w:w="900"/>
            <w:tcMar>
              <w:top w:type="dxa" w:w="80"/>
              <w:left w:type="dxa" w:w="120"/>
              <w:bottom w:type="dxa" w:w="80"/>
              <w:right w:type="dxa" w:w="120"/>
            </w:tcMar>
            <w:vAlign w:val="center"/>
          </w:tcPr>
          <w:p>
            <w:r>
              <w:rPr>
                <w:rFonts w:ascii="Calibri" w:cs="Calibri" w:eastAsia="Calibri" w:hAnsi="Calibri"/>
                <w:b/>
                <w:bCs/>
                <w:color w:val="000000"/>
                <w:sz w:val="19"/>
                <w:szCs w:val="19"/>
              </w:rPr>
              <w:t xml:space="preserve"/>
            </w:r>
          </w:p>
        </w:tc>
        <w:tc>
          <w:tcPr>
            <w:tcW w:type="dxa" w:w="4400"/>
            <w:tcMar>
              <w:top w:type="dxa" w:w="80"/>
              <w:left w:type="dxa" w:w="120"/>
              <w:bottom w:type="dxa" w:w="80"/>
              <w:right w:type="dxa" w:w="120"/>
            </w:tcMar>
            <w:vAlign w:val="center"/>
          </w:tcPr>
          <w:p>
            <w:r>
              <w:rPr>
                <w:rFonts w:ascii="Calibri" w:cs="Calibri" w:eastAsia="Calibri" w:hAnsi="Calibri"/>
                <w:b/>
                <w:bCs/>
                <w:color w:val="000000"/>
                <w:sz w:val="19"/>
                <w:szCs w:val="19"/>
              </w:rPr>
              <w:t xml:space="preserve">What I know</w:t>
            </w:r>
          </w:p>
        </w:tc>
        <w:tc>
          <w:tcPr>
            <w:tcW w:type="dxa" w:w="4400"/>
            <w:tcMar>
              <w:top w:type="dxa" w:w="80"/>
              <w:left w:type="dxa" w:w="120"/>
              <w:bottom w:type="dxa" w:w="80"/>
              <w:right w:type="dxa" w:w="120"/>
            </w:tcMar>
            <w:vAlign w:val="center"/>
          </w:tcPr>
          <w:p>
            <w:r>
              <w:rPr>
                <w:rFonts w:ascii="Calibri" w:cs="Calibri" w:eastAsia="Calibri" w:hAnsi="Calibri"/>
                <w:b/>
                <w:bCs/>
                <w:color w:val="000000"/>
                <w:sz w:val="19"/>
                <w:szCs w:val="19"/>
              </w:rPr>
              <w:t xml:space="preserve">What I learned</w:t>
            </w:r>
          </w:p>
        </w:tc>
      </w:tr>
      <w:tr>
        <w:tc>
          <w:tcPr>
            <w:tcW w:type="dxa" w:w="900"/>
            <w:tcMar>
              <w:top w:type="dxa" w:w="200"/>
              <w:left w:type="dxa" w:w="120"/>
              <w:bottom w:type="dxa" w:w="200"/>
              <w:right w:type="dxa" w:w="120"/>
            </w:tcMar>
            <w:vAlign w:val="center"/>
          </w:tcPr>
          <w:p>
            <w:r>
              <w:rPr>
                <w:rFonts w:ascii="Calibri" w:cs="Calibri" w:eastAsia="Calibri" w:hAnsi="Calibri"/>
                <w:b/>
                <w:bCs/>
                <w:color w:val="000000"/>
                <w:sz w:val="20"/>
                <w:szCs w:val="20"/>
              </w:rPr>
              <w:t xml:space="preserve">A</w:t>
            </w:r>
          </w:p>
        </w:tc>
        <w:tc>
          <w:tcPr>
            <w:tcW w:type="dxa" w:w="4400"/>
            <w:tcMar>
              <w:top w:type="dxa" w:w="200"/>
              <w:left w:type="dxa" w:w="120"/>
              <w:bottom w:type="dxa" w:w="200"/>
              <w:right w:type="dxa" w:w="120"/>
            </w:tcMar>
          </w:tcPr>
          <w:p/>
        </w:tc>
        <w:tc>
          <w:tcPr>
            <w:tcW w:type="dxa" w:w="4400"/>
            <w:tcMar>
              <w:top w:type="dxa" w:w="200"/>
              <w:left w:type="dxa" w:w="120"/>
              <w:bottom w:type="dxa" w:w="200"/>
              <w:right w:type="dxa" w:w="120"/>
            </w:tcMar>
          </w:tcPr>
          <w:p/>
        </w:tc>
      </w:tr>
      <w:tr>
        <w:tc>
          <w:tcPr>
            <w:tcW w:type="dxa" w:w="900"/>
            <w:tcMar>
              <w:top w:type="dxa" w:w="200"/>
              <w:left w:type="dxa" w:w="120"/>
              <w:bottom w:type="dxa" w:w="200"/>
              <w:right w:type="dxa" w:w="120"/>
            </w:tcMar>
            <w:vAlign w:val="center"/>
          </w:tcPr>
          <w:p>
            <w:r>
              <w:rPr>
                <w:rFonts w:ascii="Calibri" w:cs="Calibri" w:eastAsia="Calibri" w:hAnsi="Calibri"/>
                <w:b/>
                <w:bCs/>
                <w:color w:val="000000"/>
                <w:sz w:val="20"/>
                <w:szCs w:val="20"/>
              </w:rPr>
              <w:t xml:space="preserve">B</w:t>
            </w:r>
          </w:p>
        </w:tc>
        <w:tc>
          <w:tcPr>
            <w:tcW w:type="dxa" w:w="4400"/>
            <w:tcMar>
              <w:top w:type="dxa" w:w="200"/>
              <w:left w:type="dxa" w:w="120"/>
              <w:bottom w:type="dxa" w:w="200"/>
              <w:right w:type="dxa" w:w="120"/>
            </w:tcMar>
          </w:tcPr>
          <w:p/>
        </w:tc>
        <w:tc>
          <w:tcPr>
            <w:tcW w:type="dxa" w:w="4400"/>
            <w:tcMar>
              <w:top w:type="dxa" w:w="200"/>
              <w:left w:type="dxa" w:w="120"/>
              <w:bottom w:type="dxa" w:w="200"/>
              <w:right w:type="dxa" w:w="120"/>
            </w:tcMar>
          </w:tcPr>
          <w:p/>
        </w:tc>
      </w:tr>
      <w:tr>
        <w:tc>
          <w:tcPr>
            <w:tcW w:type="dxa" w:w="900"/>
            <w:tcMar>
              <w:top w:type="dxa" w:w="200"/>
              <w:left w:type="dxa" w:w="120"/>
              <w:bottom w:type="dxa" w:w="200"/>
              <w:right w:type="dxa" w:w="120"/>
            </w:tcMar>
            <w:vAlign w:val="center"/>
          </w:tcPr>
          <w:p>
            <w:r>
              <w:rPr>
                <w:rFonts w:ascii="Calibri" w:cs="Calibri" w:eastAsia="Calibri" w:hAnsi="Calibri"/>
                <w:b/>
                <w:bCs/>
                <w:color w:val="000000"/>
                <w:sz w:val="20"/>
                <w:szCs w:val="20"/>
              </w:rPr>
              <w:t xml:space="preserve">C</w:t>
            </w:r>
          </w:p>
        </w:tc>
        <w:tc>
          <w:tcPr>
            <w:tcW w:type="dxa" w:w="4400"/>
            <w:tcMar>
              <w:top w:type="dxa" w:w="200"/>
              <w:left w:type="dxa" w:w="120"/>
              <w:bottom w:type="dxa" w:w="200"/>
              <w:right w:type="dxa" w:w="120"/>
            </w:tcMar>
          </w:tcPr>
          <w:p/>
        </w:tc>
        <w:tc>
          <w:tcPr>
            <w:tcW w:type="dxa" w:w="4400"/>
            <w:tcMar>
              <w:top w:type="dxa" w:w="200"/>
              <w:left w:type="dxa" w:w="120"/>
              <w:bottom w:type="dxa" w:w="200"/>
              <w:right w:type="dxa" w:w="120"/>
            </w:tcMar>
          </w:tcPr>
          <w:p/>
        </w:tc>
      </w:tr>
      <w:tr>
        <w:tc>
          <w:tcPr>
            <w:tcW w:type="dxa" w:w="900"/>
            <w:tcMar>
              <w:top w:type="dxa" w:w="200"/>
              <w:left w:type="dxa" w:w="120"/>
              <w:bottom w:type="dxa" w:w="200"/>
              <w:right w:type="dxa" w:w="120"/>
            </w:tcMar>
            <w:vAlign w:val="center"/>
          </w:tcPr>
          <w:p>
            <w:r>
              <w:rPr>
                <w:rFonts w:ascii="Calibri" w:cs="Calibri" w:eastAsia="Calibri" w:hAnsi="Calibri"/>
                <w:b/>
                <w:bCs/>
                <w:color w:val="000000"/>
                <w:sz w:val="20"/>
                <w:szCs w:val="20"/>
              </w:rPr>
              <w:t xml:space="preserve">D</w:t>
            </w:r>
          </w:p>
        </w:tc>
        <w:tc>
          <w:tcPr>
            <w:tcW w:type="dxa" w:w="4400"/>
            <w:tcMar>
              <w:top w:type="dxa" w:w="200"/>
              <w:left w:type="dxa" w:w="120"/>
              <w:bottom w:type="dxa" w:w="200"/>
              <w:right w:type="dxa" w:w="120"/>
            </w:tcMar>
          </w:tcPr>
          <w:p/>
        </w:tc>
        <w:tc>
          <w:tcPr>
            <w:tcW w:type="dxa" w:w="4400"/>
            <w:tcMar>
              <w:top w:type="dxa" w:w="200"/>
              <w:left w:type="dxa" w:w="120"/>
              <w:bottom w:type="dxa" w:w="200"/>
              <w:right w:type="dxa" w:w="120"/>
            </w:tcMar>
          </w:tcPr>
          <w:p/>
        </w:tc>
      </w:tr>
    </w:tbl>
    <w:p>
      <w:pPr>
        <w:spacing w:after="220"/>
      </w:pPr>
    </w:p>
    <w:p>
      <w:pPr>
        <w:pBdr>
          <w:bottom w:val="single" w:color="000000" w:sz="4" w:space="3"/>
        </w:pBdr>
        <w:spacing w:after="100" w:before="240"/>
      </w:pPr>
      <w:r>
        <w:rPr>
          <w:rFonts w:ascii="Calibri" w:cs="Calibri" w:eastAsia="Calibri" w:hAnsi="Calibri"/>
          <w:b/>
          <w:bCs/>
          <w:color w:val="000000"/>
          <w:sz w:val="24"/>
          <w:szCs w:val="24"/>
        </w:rPr>
        <w:t xml:space="preserve">Lesson flow overview</w:t>
      </w:r>
    </w:p>
    <w:p>
      <w:pPr>
        <w:spacing w:after="60" w:before="160"/>
      </w:pPr>
      <w:r>
        <w:rPr>
          <w:rFonts w:ascii="Calibri" w:cs="Calibri" w:eastAsia="Calibri" w:hAnsi="Calibri"/>
          <w:b/>
          <w:bCs/>
          <w:color w:val="000000"/>
          <w:sz w:val="21"/>
          <w:szCs w:val="21"/>
        </w:rPr>
        <w:t xml:space="preserve">1. Demonstration — problem to solution walkthrough (PPT)</w:t>
      </w:r>
    </w:p>
    <w:p>
      <w:pPr>
        <w:spacing w:after="100"/>
      </w:pPr>
      <w:r>
        <w:rPr>
          <w:rFonts w:ascii="Calibri" w:cs="Calibri" w:eastAsia="Calibri" w:hAnsi="Calibri"/>
          <w:b w:val="false"/>
          <w:bCs w:val="false"/>
          <w:i w:val="false"/>
          <w:iCs w:val="false"/>
          <w:color w:val="000000"/>
          <w:sz w:val="20"/>
          <w:szCs w:val="20"/>
        </w:rPr>
        <w:t xml:space="preserve">Show a worked example on screen: a simple problem taken through Criterion A, B, C, and D, with each criterion named on screen as it appears (e.g. “This is Criterion A — Inquiring and Analysing” over the slide showing the problem being defined). Gives students a concrete, already-solved model of the whole cycle before they touch anything themselves.</w:t>
      </w:r>
    </w:p>
    <w:p>
      <w:pPr>
        <w:spacing w:after="60" w:before="160"/>
      </w:pPr>
      <w:r>
        <w:rPr>
          <w:rFonts w:ascii="Calibri" w:cs="Calibri" w:eastAsia="Calibri" w:hAnsi="Calibri"/>
          <w:b/>
          <w:bCs/>
          <w:color w:val="000000"/>
          <w:sz w:val="21"/>
          <w:szCs w:val="21"/>
        </w:rPr>
        <w:t xml:space="preserve">2. Quick discussion (1–2 minutes)</w:t>
      </w:r>
    </w:p>
    <w:p>
      <w:pPr>
        <w:spacing w:after="100"/>
      </w:pPr>
      <w:r>
        <w:rPr>
          <w:rFonts w:ascii="Calibri" w:cs="Calibri" w:eastAsia="Calibri" w:hAnsi="Calibri"/>
          <w:b w:val="false"/>
          <w:bCs w:val="false"/>
          <w:i w:val="false"/>
          <w:iCs w:val="false"/>
          <w:color w:val="000000"/>
          <w:sz w:val="20"/>
          <w:szCs w:val="20"/>
        </w:rPr>
        <w:t xml:space="preserve">Brief open discussion straight after the demo: “What did you notice happening at each stage?” Just enough to surface first reactions, not a deep dive.</w:t>
      </w:r>
    </w:p>
    <w:p>
      <w:pPr>
        <w:spacing w:after="60" w:before="160"/>
      </w:pPr>
      <w:r>
        <w:rPr>
          <w:rFonts w:ascii="Calibri" w:cs="Calibri" w:eastAsia="Calibri" w:hAnsi="Calibri"/>
          <w:b/>
          <w:bCs/>
          <w:color w:val="000000"/>
          <w:sz w:val="21"/>
          <w:szCs w:val="21"/>
        </w:rPr>
        <w:t xml:space="preserve">3. Chart — “What I know” (first pass)</w:t>
      </w:r>
    </w:p>
    <w:p>
      <w:pPr>
        <w:spacing w:after="100"/>
      </w:pPr>
      <w:r>
        <w:rPr>
          <w:rFonts w:ascii="Calibri" w:cs="Calibri" w:eastAsia="Calibri" w:hAnsi="Calibri"/>
          <w:b w:val="false"/>
          <w:bCs w:val="false"/>
          <w:i w:val="false"/>
          <w:iCs w:val="false"/>
          <w:color w:val="000000"/>
          <w:sz w:val="20"/>
          <w:szCs w:val="20"/>
        </w:rPr>
        <w:t xml:space="preserve">Having just watched the demo, go round the room and fill the “What I know” column for A, B, C, D on the class chart. This is an informed first pass, not a blind guess — based on what they just watched, in their own words.</w:t>
      </w:r>
    </w:p>
    <w:p>
      <w:pPr>
        <w:spacing w:after="60" w:before="160"/>
      </w:pPr>
      <w:r>
        <w:rPr>
          <w:rFonts w:ascii="Calibri" w:cs="Calibri" w:eastAsia="Calibri" w:hAnsi="Calibri"/>
          <w:b/>
          <w:bCs/>
          <w:color w:val="000000"/>
          <w:sz w:val="21"/>
          <w:szCs w:val="21"/>
        </w:rPr>
        <w:t xml:space="preserve">4. Teacher framing talk</w:t>
      </w:r>
    </w:p>
    <w:p>
      <w:pPr>
        <w:spacing w:after="100"/>
      </w:pPr>
      <w:r>
        <w:rPr>
          <w:rFonts w:ascii="Calibri" w:cs="Calibri" w:eastAsia="Calibri" w:hAnsi="Calibri"/>
          <w:b w:val="false"/>
          <w:bCs w:val="false"/>
          <w:i w:val="false"/>
          <w:iCs w:val="false"/>
          <w:color w:val="000000"/>
          <w:sz w:val="20"/>
          <w:szCs w:val="20"/>
        </w:rPr>
        <w:t xml:space="preserve">Set up the task: “We're going to solve a real problem using these four criteria — but only apply what you currently understand from what you just saw.” Deliberately keeps expectations loose; students are not expected to use correct IB language yet.</w:t>
      </w:r>
    </w:p>
    <w:p>
      <w:pPr>
        <w:spacing w:after="60" w:before="160"/>
      </w:pPr>
      <w:r>
        <w:rPr>
          <w:rFonts w:ascii="Calibri" w:cs="Calibri" w:eastAsia="Calibri" w:hAnsi="Calibri"/>
          <w:b/>
          <w:bCs/>
          <w:color w:val="000000"/>
          <w:sz w:val="21"/>
          <w:szCs w:val="21"/>
        </w:rPr>
        <w:t xml:space="preserve">5. Group formation and problem selection</w:t>
      </w:r>
    </w:p>
    <w:p>
      <w:pPr>
        <w:spacing w:after="100"/>
      </w:pPr>
      <w:r>
        <w:rPr>
          <w:rFonts w:ascii="Calibri" w:cs="Calibri" w:eastAsia="Calibri" w:hAnsi="Calibri"/>
          <w:b w:val="false"/>
          <w:bCs w:val="false"/>
          <w:i w:val="false"/>
          <w:iCs w:val="false"/>
          <w:color w:val="000000"/>
          <w:sz w:val="20"/>
          <w:szCs w:val="20"/>
        </w:rPr>
        <w:t xml:space="preserve">Groups of 3–4 come up, collect a problem statement (see Resources), and start working.</w:t>
      </w:r>
    </w:p>
    <w:p>
      <w:pPr>
        <w:spacing w:after="60" w:before="160"/>
      </w:pPr>
      <w:r>
        <w:rPr>
          <w:rFonts w:ascii="Calibri" w:cs="Calibri" w:eastAsia="Calibri" w:hAnsi="Calibri"/>
          <w:b/>
          <w:bCs/>
          <w:color w:val="000000"/>
          <w:sz w:val="21"/>
          <w:szCs w:val="21"/>
        </w:rPr>
        <w:t xml:space="preserve">6. Build the solution and write their own 4-step approach</w:t>
      </w:r>
    </w:p>
    <w:p>
      <w:pPr>
        <w:spacing w:after="100"/>
      </w:pPr>
      <w:r>
        <w:rPr>
          <w:rFonts w:ascii="Calibri" w:cs="Calibri" w:eastAsia="Calibri" w:hAnsi="Calibri"/>
          <w:b w:val="false"/>
          <w:bCs w:val="false"/>
          <w:i w:val="false"/>
          <w:iCs w:val="false"/>
          <w:color w:val="000000"/>
          <w:sz w:val="20"/>
          <w:szCs w:val="20"/>
        </w:rPr>
        <w:t xml:space="preserve">As groups work, they build their prototype and also write down their own approach in four steps, in their own words — not yet labelled A, B, C, D, just their natural process.</w:t>
      </w:r>
    </w:p>
    <w:p>
      <w:pPr>
        <w:spacing w:after="60" w:before="160"/>
      </w:pPr>
      <w:r>
        <w:rPr>
          <w:rFonts w:ascii="Calibri" w:cs="Calibri" w:eastAsia="Calibri" w:hAnsi="Calibri"/>
          <w:b/>
          <w:bCs/>
          <w:color w:val="000000"/>
          <w:sz w:val="21"/>
          <w:szCs w:val="21"/>
        </w:rPr>
        <w:t xml:space="preserve">7. Connect to the Design Cycle — detailed discussion</w:t>
      </w:r>
    </w:p>
    <w:p>
      <w:pPr>
        <w:spacing w:after="100"/>
      </w:pPr>
      <w:r>
        <w:rPr>
          <w:rFonts w:ascii="Calibri" w:cs="Calibri" w:eastAsia="Calibri" w:hAnsi="Calibri"/>
          <w:b w:val="false"/>
          <w:bCs w:val="false"/>
          <w:i w:val="false"/>
          <w:iCs w:val="false"/>
          <w:color w:val="000000"/>
          <w:sz w:val="20"/>
          <w:szCs w:val="20"/>
        </w:rPr>
        <w:t xml:space="preserve">Teacher facilitates a class discussion mapping each group's own four steps onto the actual Criteria A–D. This is where the formal names and definitions land, anchored to something students just did themselves rather than presented cold.</w:t>
      </w:r>
    </w:p>
    <w:p>
      <w:pPr>
        <w:spacing w:after="60" w:before="160"/>
      </w:pPr>
      <w:r>
        <w:rPr>
          <w:rFonts w:ascii="Calibri" w:cs="Calibri" w:eastAsia="Calibri" w:hAnsi="Calibri"/>
          <w:b/>
          <w:bCs/>
          <w:color w:val="000000"/>
          <w:sz w:val="21"/>
          <w:szCs w:val="21"/>
        </w:rPr>
        <w:t xml:space="preserve">8. Chart — “What I learned” (second pass)</w:t>
      </w:r>
    </w:p>
    <w:p>
      <w:pPr>
        <w:spacing w:after="100"/>
      </w:pPr>
      <w:r>
        <w:rPr>
          <w:rFonts w:ascii="Calibri" w:cs="Calibri" w:eastAsia="Calibri" w:hAnsi="Calibri"/>
          <w:b w:val="false"/>
          <w:bCs w:val="false"/>
          <w:i w:val="false"/>
          <w:iCs w:val="false"/>
          <w:color w:val="000000"/>
          <w:sz w:val="20"/>
          <w:szCs w:val="20"/>
        </w:rPr>
        <w:t xml:space="preserve">Return to the same chart, fill the “What I learned” column, and read both columns aloud as a class, row by row. Close by naming the thread explicitly: what they just lived through — A, B, C, D — is the same process every Design unit this year will use, just in more depth.</w:t>
      </w:r>
    </w:p>
    <w:p>
      <w:pPr>
        <w:spacing w:after="120"/>
      </w:pPr>
    </w:p>
    <w:p>
      <w:pPr>
        <w:spacing w:after="100"/>
      </w:pPr>
      <w:r>
        <w:rPr>
          <w:rFonts w:ascii="Calibri" w:cs="Calibri" w:eastAsia="Calibri" w:hAnsi="Calibri"/>
          <w:b w:val="false"/>
          <w:bCs w:val="false"/>
          <w:i/>
          <w:iCs/>
          <w:color w:val="000000"/>
          <w:sz w:val="20"/>
          <w:szCs w:val="20"/>
        </w:rPr>
        <w:t xml:space="preserve">Note: Step 1 needs a short worked-example PPT prepared in advance, showing one simple problem carried through all four criteria with labels appearing on screen.</w:t>
      </w:r>
    </w:p>
    <w:p>
      <w:pPr>
        <w:spacing w:after="200"/>
      </w:pPr>
    </w:p>
    <w:p>
      <w:pPr>
        <w:pBdr>
          <w:bottom w:val="single" w:color="000000" w:sz="4" w:space="3"/>
        </w:pBdr>
        <w:spacing w:after="100" w:before="240"/>
      </w:pPr>
      <w:r>
        <w:rPr>
          <w:rFonts w:ascii="Calibri" w:cs="Calibri" w:eastAsia="Calibri" w:hAnsi="Calibri"/>
          <w:b/>
          <w:bCs/>
          <w:color w:val="000000"/>
          <w:sz w:val="24"/>
          <w:szCs w:val="24"/>
        </w:rPr>
        <w:t xml:space="preserve">Resources — problem statements</w:t>
      </w:r>
    </w:p>
    <w:p>
      <w:pPr>
        <w:spacing w:after="100"/>
      </w:pPr>
      <w:r>
        <w:rPr>
          <w:rFonts w:ascii="Calibri" w:cs="Calibri" w:eastAsia="Calibri" w:hAnsi="Calibri"/>
          <w:b w:val="false"/>
          <w:bCs w:val="false"/>
          <w:i/>
          <w:iCs/>
          <w:color w:val="000000"/>
          <w:sz w:val="20"/>
          <w:szCs w:val="20"/>
        </w:rPr>
        <w:t xml:space="preserve">Offer 2–3 of the following rather than all four, to keep the first discussion focused. Each has a built-in user, so Criterion A has something real to define from the start.</w:t>
      </w:r>
    </w:p>
    <w:p>
      <w:pPr>
        <w:spacing w:after="80"/>
      </w:pPr>
    </w:p>
    <w:p>
      <w:pPr>
        <w:spacing w:after="60" w:before="160"/>
      </w:pPr>
      <w:r>
        <w:rPr>
          <w:rFonts w:ascii="Calibri" w:cs="Calibri" w:eastAsia="Calibri" w:hAnsi="Calibri"/>
          <w:b/>
          <w:bCs/>
          <w:color w:val="000000"/>
          <w:sz w:val="21"/>
          <w:szCs w:val="21"/>
        </w:rPr>
        <w:t xml:space="preserve">The Rescue Transfer</w:t>
      </w:r>
    </w:p>
    <w:p>
      <w:pPr>
        <w:spacing w:after="100"/>
      </w:pPr>
      <w:r>
        <w:rPr>
          <w:rFonts w:ascii="Calibri" w:cs="Calibri" w:eastAsia="Calibri" w:hAnsi="Calibri"/>
          <w:b w:val="false"/>
          <w:bCs w:val="false"/>
          <w:i w:val="false"/>
          <w:iCs w:val="false"/>
          <w:color w:val="000000"/>
          <w:sz w:val="20"/>
          <w:szCs w:val="20"/>
        </w:rPr>
        <w:t xml:space="preserve">A local wildlife shelter cares for injured small animals (a tiny toy frog or turtle works well) that need to cross a shallow pool to reach their feeding area, but volunteers aren't allowed to touch them directly — it stresses the animals out. Design a device that moves the animal from one side of a tub to the other without hands touching the water or the animal. Materials: cardboard, glue, rubber bands, straws.</w:t>
      </w:r>
    </w:p>
    <w:p>
      <w:pPr>
        <w:spacing w:after="60" w:before="160"/>
      </w:pPr>
      <w:r>
        <w:rPr>
          <w:rFonts w:ascii="Calibri" w:cs="Calibri" w:eastAsia="Calibri" w:hAnsi="Calibri"/>
          <w:b/>
          <w:bCs/>
          <w:color w:val="000000"/>
          <w:sz w:val="21"/>
          <w:szCs w:val="21"/>
        </w:rPr>
        <w:t xml:space="preserve">The Steady Hands Helper</w:t>
      </w:r>
    </w:p>
    <w:p>
      <w:pPr>
        <w:spacing w:after="100"/>
      </w:pPr>
      <w:r>
        <w:rPr>
          <w:rFonts w:ascii="Calibri" w:cs="Calibri" w:eastAsia="Calibri" w:hAnsi="Calibri"/>
          <w:b w:val="false"/>
          <w:bCs w:val="false"/>
          <w:i w:val="false"/>
          <w:iCs w:val="false"/>
          <w:color w:val="000000"/>
          <w:sz w:val="20"/>
          <w:szCs w:val="20"/>
        </w:rPr>
        <w:t xml:space="preserve">Younger students at school do craft activities with small beads or counters, but some find it hard to pick up and place tiny objects precisely. Design a tool that lets a younger student move a small object from a tray to a target spot without pinching it directly. Materials: cardboard, glue, rubber bands, straws.</w:t>
      </w:r>
    </w:p>
    <w:p>
      <w:pPr>
        <w:spacing w:after="60" w:before="160"/>
      </w:pPr>
      <w:r>
        <w:rPr>
          <w:rFonts w:ascii="Calibri" w:cs="Calibri" w:eastAsia="Calibri" w:hAnsi="Calibri"/>
          <w:b/>
          <w:bCs/>
          <w:color w:val="000000"/>
          <w:sz w:val="21"/>
          <w:szCs w:val="21"/>
        </w:rPr>
        <w:t xml:space="preserve">The No-Spill Delivery</w:t>
      </w:r>
    </w:p>
    <w:p>
      <w:pPr>
        <w:spacing w:after="100"/>
      </w:pPr>
      <w:r>
        <w:rPr>
          <w:rFonts w:ascii="Calibri" w:cs="Calibri" w:eastAsia="Calibri" w:hAnsi="Calibri"/>
          <w:b w:val="false"/>
          <w:bCs w:val="false"/>
          <w:i w:val="false"/>
          <w:iCs w:val="false"/>
          <w:color w:val="000000"/>
          <w:sz w:val="20"/>
          <w:szCs w:val="20"/>
        </w:rPr>
        <w:t xml:space="preserve">In a busy classroom, students often need to pass small items across a desk to a classmate without getting up or having it roll off. Design a simple device that delivers a small object from one side of a desk to another, staying on a marked path. Materials: cardboard, glue, rubber bands, straws.</w:t>
      </w:r>
    </w:p>
    <w:p>
      <w:pPr>
        <w:spacing w:after="60" w:before="160"/>
      </w:pPr>
      <w:r>
        <w:rPr>
          <w:rFonts w:ascii="Calibri" w:cs="Calibri" w:eastAsia="Calibri" w:hAnsi="Calibri"/>
          <w:b/>
          <w:bCs/>
          <w:color w:val="000000"/>
          <w:sz w:val="21"/>
          <w:szCs w:val="21"/>
        </w:rPr>
        <w:t xml:space="preserve">The Reach Extender</w:t>
      </w:r>
    </w:p>
    <w:p>
      <w:pPr>
        <w:spacing w:after="100"/>
      </w:pPr>
      <w:r>
        <w:rPr>
          <w:rFonts w:ascii="Calibri" w:cs="Calibri" w:eastAsia="Calibri" w:hAnsi="Calibri"/>
          <w:b w:val="false"/>
          <w:bCs w:val="false"/>
          <w:i w:val="false"/>
          <w:iCs w:val="false"/>
          <w:color w:val="000000"/>
          <w:sz w:val="20"/>
          <w:szCs w:val="20"/>
        </w:rPr>
        <w:t xml:space="preserve">Someone with limited mobility often drops small objects in places they can't easily bend down or reach into. Design a simple tool that can retrieve a small object from a narrow space without the user needing to reach in by hand. Materials: cardboard, glue, rubber bands, straws.</w:t>
      </w:r>
    </w:p>
    <w:sectPr>
      <w:pgSz w:w="11906" w:h="16838" w:orient="portrait"/>
      <w:pgMar w:top="700" w:right="700" w:bottom="7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2026-07-13T16:40:04.095Z</dcterms:created>
  <dcterms:modified xsi:type="dcterms:W3CDTF">2026-07-13T16:40:04.095Z</dcterms:modified>
</cp:coreProperties>
</file>

<file path=docProps/custom.xml><?xml version="1.0" encoding="utf-8"?>
<Properties xmlns="http://schemas.openxmlformats.org/officeDocument/2006/custom-properties" xmlns:vt="http://schemas.openxmlformats.org/officeDocument/2006/docPropsVTypes"/>
</file>